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53" w:rsidRDefault="00E91AE9">
      <w:pPr>
        <w:spacing w:after="0" w:line="249" w:lineRule="auto"/>
        <w:ind w:left="2835" w:hanging="2335"/>
        <w:jc w:val="left"/>
      </w:pPr>
      <w:bookmarkStart w:id="0" w:name="_GoBack"/>
      <w:bookmarkEnd w:id="0"/>
      <w:r>
        <w:rPr>
          <w:b/>
        </w:rPr>
        <w:t xml:space="preserve">WYDANIE DOKUMENTU POTWIERDZAJĄCEGO PRAWO STAŁEGO POBYTU  OBYWATELA  UNII  EUROPEJSKIEJ </w:t>
      </w:r>
    </w:p>
    <w:p w:rsidR="00C47453" w:rsidRDefault="00E91AE9">
      <w:pPr>
        <w:spacing w:after="0" w:line="259" w:lineRule="auto"/>
        <w:ind w:left="545" w:firstLine="0"/>
        <w:jc w:val="center"/>
      </w:pPr>
      <w:r>
        <w:rPr>
          <w:b/>
        </w:rPr>
        <w:t xml:space="preserve"> </w:t>
      </w:r>
    </w:p>
    <w:p w:rsidR="00C47453" w:rsidRDefault="00E91AE9">
      <w:pPr>
        <w:spacing w:after="256" w:line="259" w:lineRule="auto"/>
        <w:ind w:left="545" w:firstLine="0"/>
        <w:jc w:val="center"/>
      </w:pPr>
      <w:r>
        <w:rPr>
          <w:b/>
        </w:rPr>
        <w:t xml:space="preserve"> </w:t>
      </w:r>
    </w:p>
    <w:p w:rsidR="00C47453" w:rsidRDefault="00E91AE9">
      <w:pPr>
        <w:spacing w:after="305" w:line="249" w:lineRule="auto"/>
        <w:jc w:val="left"/>
      </w:pPr>
      <w:r>
        <w:rPr>
          <w:b/>
        </w:rPr>
        <w:t xml:space="preserve">I. JEDNOSTKA ODPOWIEDZIALNA </w:t>
      </w:r>
    </w:p>
    <w:p w:rsidR="00C47453" w:rsidRDefault="00E91AE9">
      <w:r>
        <w:t xml:space="preserve">Wydział Spraw Obywatelskich i Cudzoziemców </w:t>
      </w:r>
    </w:p>
    <w:p w:rsidR="00C47453" w:rsidRDefault="00E91AE9">
      <w:pPr>
        <w:pStyle w:val="Nagwek1"/>
        <w:spacing w:after="28"/>
        <w:ind w:left="10"/>
      </w:pPr>
      <w:r>
        <w:t xml:space="preserve">Oddział Legalizacji Pobytu Cudzoziemców Warmińsko-Mazurskiego Urzędu Wojewódzkiego w Olsztynie   </w:t>
      </w:r>
    </w:p>
    <w:p w:rsidR="00C47453" w:rsidRDefault="00E91AE9">
      <w:r>
        <w:t xml:space="preserve">Al. M.J. Piłsudskiego 7/9, pok. Nr </w:t>
      </w:r>
      <w:r w:rsidR="00B6030D">
        <w:t>7</w:t>
      </w:r>
    </w:p>
    <w:p w:rsidR="00C47453" w:rsidRDefault="00E91AE9">
      <w:r>
        <w:t xml:space="preserve">10-575 Olsztyn </w:t>
      </w:r>
    </w:p>
    <w:p w:rsidR="00C47453" w:rsidRDefault="00E91AE9">
      <w:pPr>
        <w:spacing w:after="0" w:line="259" w:lineRule="auto"/>
        <w:ind w:left="1256" w:firstLine="0"/>
        <w:jc w:val="center"/>
      </w:pPr>
      <w:r>
        <w:t xml:space="preserve"> </w:t>
      </w:r>
    </w:p>
    <w:tbl>
      <w:tblPr>
        <w:tblStyle w:val="TableGrid"/>
        <w:tblW w:w="8504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5361"/>
        <w:gridCol w:w="3123"/>
        <w:gridCol w:w="20"/>
      </w:tblGrid>
      <w:tr w:rsidR="00C47453" w:rsidTr="00E91AE9">
        <w:trPr>
          <w:gridAfter w:val="1"/>
          <w:wAfter w:w="20" w:type="dxa"/>
          <w:trHeight w:val="396"/>
        </w:trPr>
        <w:tc>
          <w:tcPr>
            <w:tcW w:w="5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7453" w:rsidRDefault="00E91AE9">
            <w:pPr>
              <w:spacing w:after="93" w:line="259" w:lineRule="auto"/>
              <w:ind w:left="0" w:firstLine="0"/>
              <w:jc w:val="left"/>
            </w:pPr>
            <w:r>
              <w:rPr>
                <w:u w:val="single" w:color="000000"/>
              </w:rPr>
              <w:t>telefony oddziału:</w:t>
            </w:r>
            <w:r>
              <w:t xml:space="preserve"> </w:t>
            </w:r>
          </w:p>
          <w:p w:rsidR="00E91AE9" w:rsidRDefault="00E91AE9" w:rsidP="00E91AE9">
            <w:pPr>
              <w:spacing w:after="0" w:line="259" w:lineRule="auto"/>
              <w:ind w:left="428" w:firstLine="0"/>
              <w:jc w:val="left"/>
            </w:pPr>
            <w:r>
              <w:t xml:space="preserve">(89) 52 32 612 </w:t>
            </w:r>
            <w:r>
              <w:rPr>
                <w:sz w:val="22"/>
              </w:rPr>
              <w:t xml:space="preserve"> </w:t>
            </w:r>
          </w:p>
          <w:p w:rsidR="00C47453" w:rsidRDefault="00E91AE9" w:rsidP="00E91AE9">
            <w:pPr>
              <w:spacing w:after="0" w:line="259" w:lineRule="auto"/>
              <w:ind w:right="2749"/>
              <w:jc w:val="left"/>
            </w:pPr>
            <w:r>
              <w:rPr>
                <w:b/>
              </w:rPr>
              <w:t xml:space="preserve"> </w:t>
            </w:r>
            <w:r>
              <w:t>fax (89) 523 23 07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C47453" w:rsidRDefault="00E91AE9">
            <w:pPr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godziny przyjęć interesantów:</w:t>
            </w:r>
            <w:r>
              <w:t xml:space="preserve"> </w:t>
            </w:r>
          </w:p>
        </w:tc>
      </w:tr>
      <w:tr w:rsidR="00C47453" w:rsidTr="00E91AE9">
        <w:trPr>
          <w:trHeight w:val="2479"/>
        </w:trPr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7453" w:rsidRDefault="00C4745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E91AE9" w:rsidRDefault="00E91AE9" w:rsidP="00E91AE9">
            <w:pPr>
              <w:spacing w:after="0" w:line="240" w:lineRule="auto"/>
              <w:ind w:left="0" w:firstLine="0"/>
            </w:pPr>
            <w:r>
              <w:t>poniedziałek –   9:00-17:00</w:t>
            </w:r>
          </w:p>
          <w:p w:rsidR="00E91AE9" w:rsidRDefault="00E91AE9" w:rsidP="00E91AE9">
            <w:pPr>
              <w:spacing w:after="0" w:line="240" w:lineRule="auto"/>
              <w:ind w:left="0" w:firstLine="0"/>
            </w:pPr>
            <w:r>
              <w:t xml:space="preserve">wtorek          – </w:t>
            </w:r>
            <w:r w:rsidR="00B6030D">
              <w:t xml:space="preserve">  8</w:t>
            </w:r>
            <w:r>
              <w:t>:00-15:00</w:t>
            </w:r>
          </w:p>
          <w:p w:rsidR="00E91AE9" w:rsidRDefault="00E91AE9" w:rsidP="00E91AE9">
            <w:pPr>
              <w:spacing w:after="0" w:line="240" w:lineRule="auto"/>
              <w:ind w:left="0" w:firstLine="0"/>
            </w:pPr>
            <w:r>
              <w:t xml:space="preserve">środa             – </w:t>
            </w:r>
            <w:r w:rsidR="00B6030D">
              <w:t xml:space="preserve">  8</w:t>
            </w:r>
            <w:r>
              <w:t>:00-15:00</w:t>
            </w:r>
          </w:p>
          <w:p w:rsidR="00E91AE9" w:rsidRDefault="00E91AE9" w:rsidP="00E91AE9">
            <w:pPr>
              <w:spacing w:after="0" w:line="240" w:lineRule="auto"/>
              <w:ind w:left="0" w:firstLine="0"/>
            </w:pPr>
            <w:r>
              <w:t xml:space="preserve">czwartek       – </w:t>
            </w:r>
            <w:r w:rsidR="00B6030D">
              <w:t xml:space="preserve">  8</w:t>
            </w:r>
            <w:r>
              <w:t>:00-15:00</w:t>
            </w:r>
          </w:p>
          <w:p w:rsidR="00C47453" w:rsidRDefault="00E91AE9" w:rsidP="00E91AE9">
            <w:pPr>
              <w:spacing w:after="0" w:line="259" w:lineRule="auto"/>
              <w:ind w:left="0" w:firstLine="0"/>
              <w:jc w:val="left"/>
            </w:pPr>
            <w:r>
              <w:t xml:space="preserve">piątek            – </w:t>
            </w:r>
            <w:r w:rsidR="00B6030D">
              <w:t xml:space="preserve">  8</w:t>
            </w:r>
            <w:r>
              <w:t xml:space="preserve">:00-15:00 </w:t>
            </w:r>
          </w:p>
          <w:p w:rsidR="00C47453" w:rsidRDefault="00E91AE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7453" w:rsidRDefault="00E91AE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47453" w:rsidRDefault="00E91AE9" w:rsidP="00E91AE9">
            <w:pPr>
              <w:spacing w:after="0" w:line="259" w:lineRule="auto"/>
            </w:pPr>
            <w:r>
              <w:t xml:space="preserve"> </w:t>
            </w:r>
          </w:p>
        </w:tc>
      </w:tr>
    </w:tbl>
    <w:p w:rsidR="00C47453" w:rsidRDefault="00E91AE9">
      <w:pPr>
        <w:pStyle w:val="Nagwek1"/>
        <w:ind w:left="279"/>
      </w:pPr>
      <w:r>
        <w:t xml:space="preserve">II. WARUNKI  </w:t>
      </w:r>
    </w:p>
    <w:p w:rsidR="00C47453" w:rsidRDefault="00E91AE9">
      <w:pPr>
        <w:numPr>
          <w:ilvl w:val="0"/>
          <w:numId w:val="1"/>
        </w:numPr>
        <w:ind w:hanging="348"/>
      </w:pPr>
      <w:r>
        <w:t xml:space="preserve">Prawo stałego pobytu nabywa się </w:t>
      </w:r>
      <w:r>
        <w:rPr>
          <w:b/>
        </w:rPr>
        <w:t>po upływie 5 lat</w:t>
      </w:r>
      <w:r>
        <w:t xml:space="preserve"> nieprzerwanego pobytu na terytorium RP. </w:t>
      </w:r>
    </w:p>
    <w:p w:rsidR="00C47453" w:rsidRDefault="00E91AE9">
      <w:pPr>
        <w:numPr>
          <w:ilvl w:val="0"/>
          <w:numId w:val="1"/>
        </w:numPr>
        <w:spacing w:after="28"/>
        <w:ind w:hanging="348"/>
      </w:pPr>
      <w:r>
        <w:t xml:space="preserve">Prawo stałego pobytu </w:t>
      </w:r>
      <w:r>
        <w:rPr>
          <w:b/>
        </w:rPr>
        <w:t>przed upływem 5-letniego okresu pobytu</w:t>
      </w:r>
      <w:r>
        <w:t xml:space="preserve"> na terytorium Rzeczypospolitej Polskiej nabywa:  </w:t>
      </w:r>
    </w:p>
    <w:p w:rsidR="00C47453" w:rsidRDefault="00E91AE9">
      <w:pPr>
        <w:numPr>
          <w:ilvl w:val="0"/>
          <w:numId w:val="2"/>
        </w:numPr>
        <w:spacing w:after="71"/>
        <w:ind w:hanging="360"/>
      </w:pPr>
      <w:r>
        <w:t xml:space="preserve">pracownik lub osoba pracująca na własny rachunek, która w chwili zakończenia wykonywania pracy lub innej działalności zarobkowej we własnym imieniu i na własny rachunek osiągnęła wiek emerytalny określony przez polskie przepisy dotyczące ubezpieczenia emerytalnego lub która zakończyła wykonywanie pracy w celu przejścia na wcześniejszą emeryturę, jeżeli przedtem przez okres 12 miesięcy wykonywała pracę lub inną działalność zarobkową we własnym imieniu i na własny rachunek na terytorium Rzeczypospolitej Polskiej i przebywała na tym terytorium nieprzerwanie przez okres dłuższy niż 3 lata;  </w:t>
      </w:r>
    </w:p>
    <w:p w:rsidR="00C47453" w:rsidRDefault="00E91AE9">
      <w:pPr>
        <w:numPr>
          <w:ilvl w:val="0"/>
          <w:numId w:val="2"/>
        </w:numPr>
        <w:ind w:hanging="360"/>
      </w:pPr>
      <w:r>
        <w:t xml:space="preserve">pracownik lub osoba pracująca na własny rachunek, która zaprzestała wykonywania pracy lub innej działalności zarobkowej we własnym imieniu i na własny rachunek na tym terytorium z powodu trwałej niezdolności do pracy, jeżeli przebywała na tym terytorium nieprzerwanie przez okres dłuższy niż 2 lata;  </w:t>
      </w:r>
    </w:p>
    <w:p w:rsidR="00C47453" w:rsidRDefault="00E91AE9">
      <w:pPr>
        <w:numPr>
          <w:ilvl w:val="0"/>
          <w:numId w:val="2"/>
        </w:numPr>
        <w:spacing w:after="120"/>
        <w:ind w:hanging="360"/>
      </w:pPr>
      <w:r>
        <w:t xml:space="preserve">pracownik lub osoba pracująca na własny rachunek, która po 3 latach nieprzerwanego pobytu i wykonywania pracy lub innej działalności zarobkowej we własnym imieniu i na własny rachunek na tym terytorium wykonuje pracę lub inną działalność zarobkową we </w:t>
      </w:r>
      <w:r>
        <w:lastRenderedPageBreak/>
        <w:t xml:space="preserve">własnym imieniu i na własny rachunek w innym państwie członkowskim, przebywając nadal na terytorium Rzeczypospolitej Polskiej, dokąd powraca co najmniej raz w tygodniu.  </w:t>
      </w:r>
    </w:p>
    <w:p w:rsidR="00C47453" w:rsidRDefault="00E91AE9">
      <w:pPr>
        <w:ind w:left="269" w:firstLine="317"/>
      </w:pPr>
      <w:r>
        <w:t xml:space="preserve">Pobyt na terytorium Rzeczypospolitej Polskiej uważa się za </w:t>
      </w:r>
      <w:r>
        <w:rPr>
          <w:b/>
          <w:u w:val="single" w:color="000000"/>
        </w:rPr>
        <w:t>nieprzerwany</w:t>
      </w:r>
      <w:r>
        <w:t xml:space="preserve">, w przypadku gdy przerwy w nim nie przekroczyły łącznie </w:t>
      </w:r>
      <w:r>
        <w:rPr>
          <w:b/>
        </w:rPr>
        <w:t>6 miesięcy w roku</w:t>
      </w:r>
      <w:r>
        <w:t xml:space="preserve">. </w:t>
      </w:r>
    </w:p>
    <w:p w:rsidR="00C47453" w:rsidRDefault="00E91AE9">
      <w:pPr>
        <w:ind w:left="269" w:firstLine="317"/>
      </w:pPr>
      <w:r>
        <w:t xml:space="preserve"> Pobytu na terytorium Rzeczypospolitej Polskiej nie przerywa opuszczenie tego terytorium na okres dłuższy niż określony w ust. 1 z powodu: </w:t>
      </w:r>
    </w:p>
    <w:p w:rsidR="00C47453" w:rsidRDefault="00E91AE9">
      <w:pPr>
        <w:numPr>
          <w:ilvl w:val="0"/>
          <w:numId w:val="3"/>
        </w:numPr>
        <w:ind w:hanging="319"/>
      </w:pPr>
      <w:r>
        <w:t xml:space="preserve">odbycia obowiązkowej służby wojskowej albo </w:t>
      </w:r>
    </w:p>
    <w:p w:rsidR="00C47453" w:rsidRDefault="00E91AE9">
      <w:pPr>
        <w:numPr>
          <w:ilvl w:val="0"/>
          <w:numId w:val="3"/>
        </w:numPr>
        <w:spacing w:after="253"/>
        <w:ind w:hanging="319"/>
      </w:pPr>
      <w:r>
        <w:t>ważnej sytuacji osobistej, w szczególności ciąży, porodu, choroby, studiów, szkolenia zawodowego, oddelegowania, która wymaga pobytu poza tym terytorium, pod warunkiem że okres ten jest nie dłuższy niż 12 kolejnych miesięcy.</w:t>
      </w:r>
      <w:r>
        <w:rPr>
          <w:b/>
        </w:rPr>
        <w:t xml:space="preserve"> </w:t>
      </w:r>
    </w:p>
    <w:p w:rsidR="00C47453" w:rsidRDefault="00E91AE9">
      <w:pPr>
        <w:pStyle w:val="Nagwek1"/>
        <w:ind w:left="279"/>
      </w:pPr>
      <w:r>
        <w:t xml:space="preserve">III. WYMAGANE DOKUMENTY </w:t>
      </w:r>
    </w:p>
    <w:p w:rsidR="00C47453" w:rsidRDefault="00E91AE9">
      <w:pPr>
        <w:numPr>
          <w:ilvl w:val="0"/>
          <w:numId w:val="4"/>
        </w:numPr>
        <w:ind w:hanging="283"/>
      </w:pPr>
      <w:r>
        <w:t xml:space="preserve">Wniosek o wydanie/wymianę dokumentu potwierdzającego prawo stałego pobytu  </w:t>
      </w:r>
    </w:p>
    <w:p w:rsidR="00C47453" w:rsidRDefault="00E91AE9">
      <w:pPr>
        <w:ind w:left="610"/>
      </w:pPr>
      <w:r>
        <w:t xml:space="preserve">(+ 3 kopie). </w:t>
      </w:r>
    </w:p>
    <w:p w:rsidR="00C47453" w:rsidRDefault="00E91AE9">
      <w:pPr>
        <w:numPr>
          <w:ilvl w:val="0"/>
          <w:numId w:val="4"/>
        </w:numPr>
        <w:ind w:hanging="283"/>
      </w:pPr>
      <w:r>
        <w:t>5  fotografii osoby, której wniosek dotyczy, spełniających następujące wymagania:</w:t>
      </w:r>
      <w:r>
        <w:rPr>
          <w:sz w:val="22"/>
        </w:rPr>
        <w:t xml:space="preserve"> </w:t>
      </w:r>
    </w:p>
    <w:p w:rsidR="00C47453" w:rsidRDefault="00E91AE9">
      <w:pPr>
        <w:numPr>
          <w:ilvl w:val="1"/>
          <w:numId w:val="4"/>
        </w:numPr>
        <w:ind w:hanging="204"/>
      </w:pPr>
      <w:r>
        <w:t xml:space="preserve">nieuszkodzone, kolorowe, o dobrej ostrości; </w:t>
      </w:r>
    </w:p>
    <w:p w:rsidR="00C47453" w:rsidRDefault="00E91AE9">
      <w:pPr>
        <w:numPr>
          <w:ilvl w:val="1"/>
          <w:numId w:val="4"/>
        </w:numPr>
        <w:ind w:hanging="204"/>
      </w:pPr>
      <w:r>
        <w:t xml:space="preserve">o wymiarach 35 mm x 45 mm; </w:t>
      </w:r>
    </w:p>
    <w:p w:rsidR="00C47453" w:rsidRDefault="00E91AE9">
      <w:pPr>
        <w:numPr>
          <w:ilvl w:val="1"/>
          <w:numId w:val="4"/>
        </w:numPr>
        <w:ind w:hanging="204"/>
      </w:pPr>
      <w:r>
        <w:t xml:space="preserve">wykonane nie wcześniej niż w ciągu 6 miesięcy przed dniem złożenia wniosku; </w:t>
      </w:r>
    </w:p>
    <w:p w:rsidR="00C47453" w:rsidRDefault="00E91AE9">
      <w:pPr>
        <w:numPr>
          <w:ilvl w:val="1"/>
          <w:numId w:val="4"/>
        </w:numPr>
        <w:ind w:hanging="204"/>
      </w:pPr>
      <w:r>
        <w:t xml:space="preserve">przedstawiające wizerunek twarzy cudzoziemca od wierzchołka głowy do górnej części barków, tak aby twarz zajmowała 70-80% fotografii, na jednolitym jasnym tle, w pozycji frontalnej, patrzącego na wprost z otwartymi oczami, nieprzesłoniętymi włosami, z naturalnym wyrazem twarzy i zamkniętymi ustami, a także odwzorowujące naturalny kolor jego skóry; </w:t>
      </w:r>
    </w:p>
    <w:p w:rsidR="00C47453" w:rsidRDefault="00E91AE9">
      <w:pPr>
        <w:numPr>
          <w:ilvl w:val="1"/>
          <w:numId w:val="4"/>
        </w:numPr>
        <w:ind w:hanging="204"/>
      </w:pPr>
      <w:r>
        <w:t xml:space="preserve">przedstawiające wyraźnie oczy cudzoziemca, a zwłaszcza źrenice, linia oczu cudzoziemca jest równoległa do górnej krawędzi fotografii. </w:t>
      </w:r>
    </w:p>
    <w:p w:rsidR="00C47453" w:rsidRDefault="00E91AE9">
      <w:pPr>
        <w:numPr>
          <w:ilvl w:val="0"/>
          <w:numId w:val="4"/>
        </w:numPr>
        <w:ind w:hanging="283"/>
      </w:pPr>
      <w:r>
        <w:t xml:space="preserve">Ważny dokument podróży (paszport, dowód osobisty) – 4 kopie, oryginał okazuje się przy złożeniu wniosku. Obywatel UE może okazać inny ważny dokument potwierdzający jego tożsamość i obywatelstwo. </w:t>
      </w:r>
      <w:r>
        <w:rPr>
          <w:b/>
        </w:rPr>
        <w:t xml:space="preserve"> </w:t>
      </w:r>
    </w:p>
    <w:p w:rsidR="00C47453" w:rsidRDefault="00E91AE9">
      <w:pPr>
        <w:numPr>
          <w:ilvl w:val="0"/>
          <w:numId w:val="4"/>
        </w:numPr>
        <w:ind w:hanging="283"/>
      </w:pPr>
      <w:r>
        <w:t>Dokument potwierdzający zameldowanie na pobyt czasowy trwający dłużej niż 3 miesiące.</w:t>
      </w:r>
      <w:r>
        <w:rPr>
          <w:b/>
        </w:rPr>
        <w:t xml:space="preserve"> </w:t>
      </w:r>
    </w:p>
    <w:p w:rsidR="00C47453" w:rsidRDefault="00E91AE9">
      <w:pPr>
        <w:numPr>
          <w:ilvl w:val="0"/>
          <w:numId w:val="4"/>
        </w:numPr>
        <w:spacing w:after="299"/>
        <w:ind w:hanging="283"/>
      </w:pPr>
      <w:r>
        <w:t xml:space="preserve">Dokumenty potwierdzające </w:t>
      </w:r>
      <w:r>
        <w:rPr>
          <w:u w:val="single" w:color="000000"/>
        </w:rPr>
        <w:t>nieprzerwany pobyt</w:t>
      </w:r>
      <w:r>
        <w:t xml:space="preserve"> na terytorium Rzeczypospolitej Polskiej przez okres dłuższy niż 5 lat.  </w:t>
      </w:r>
      <w:r>
        <w:rPr>
          <w:b/>
        </w:rPr>
        <w:t xml:space="preserve"> </w:t>
      </w:r>
    </w:p>
    <w:p w:rsidR="00C47453" w:rsidRDefault="00E91AE9">
      <w:pPr>
        <w:numPr>
          <w:ilvl w:val="0"/>
          <w:numId w:val="5"/>
        </w:numPr>
        <w:spacing w:after="305" w:line="249" w:lineRule="auto"/>
        <w:ind w:left="656" w:hanging="387"/>
        <w:jc w:val="left"/>
      </w:pPr>
      <w:r>
        <w:rPr>
          <w:b/>
        </w:rPr>
        <w:t xml:space="preserve">OPŁATY </w:t>
      </w:r>
    </w:p>
    <w:p w:rsidR="00C47453" w:rsidRDefault="00E91AE9">
      <w:pPr>
        <w:spacing w:after="301"/>
        <w:ind w:left="279"/>
      </w:pPr>
      <w:r>
        <w:t>Wniosek i załączniki nie podlegają opłacie skarbowej</w:t>
      </w:r>
      <w:r>
        <w:rPr>
          <w:b/>
        </w:rPr>
        <w:t xml:space="preserve"> </w:t>
      </w:r>
    </w:p>
    <w:p w:rsidR="00C47453" w:rsidRDefault="00E91AE9">
      <w:pPr>
        <w:numPr>
          <w:ilvl w:val="0"/>
          <w:numId w:val="5"/>
        </w:numPr>
        <w:spacing w:after="305" w:line="249" w:lineRule="auto"/>
        <w:ind w:left="656" w:hanging="387"/>
        <w:jc w:val="left"/>
      </w:pPr>
      <w:r>
        <w:rPr>
          <w:b/>
        </w:rPr>
        <w:t xml:space="preserve">TERMIN ZAŁATWIANIA SPRAWY </w:t>
      </w:r>
    </w:p>
    <w:p w:rsidR="00C47453" w:rsidRDefault="00E91AE9">
      <w:pPr>
        <w:spacing w:after="303"/>
        <w:ind w:left="279"/>
      </w:pPr>
      <w:r>
        <w:t xml:space="preserve">1 miesiąc </w:t>
      </w:r>
    </w:p>
    <w:p w:rsidR="00C47453" w:rsidRDefault="00E91AE9">
      <w:pPr>
        <w:pStyle w:val="Nagwek1"/>
        <w:spacing w:after="260"/>
        <w:ind w:left="279"/>
      </w:pPr>
      <w:r>
        <w:lastRenderedPageBreak/>
        <w:t xml:space="preserve">VI. TRYB ODWOŁAWCZY  </w:t>
      </w:r>
    </w:p>
    <w:p w:rsidR="00C47453" w:rsidRDefault="00E91AE9">
      <w:pPr>
        <w:spacing w:after="249"/>
        <w:ind w:left="279"/>
      </w:pPr>
      <w:r>
        <w:t xml:space="preserve">Stronie przysługuje prawo wniesienia odwołania od decyzji, za pośrednictwem wojewody do Szefa Urzędu do Spraw Cudzoziemców, w terminie 14 dni  od daty jej doręczenia. </w:t>
      </w:r>
    </w:p>
    <w:p w:rsidR="00C47453" w:rsidRDefault="00E91AE9">
      <w:pPr>
        <w:pStyle w:val="Nagwek1"/>
        <w:spacing w:after="263"/>
        <w:ind w:left="279"/>
      </w:pPr>
      <w:r>
        <w:t xml:space="preserve">VII. UWAGI </w:t>
      </w:r>
    </w:p>
    <w:p w:rsidR="00C47453" w:rsidRDefault="00E91AE9">
      <w:pPr>
        <w:numPr>
          <w:ilvl w:val="0"/>
          <w:numId w:val="6"/>
        </w:numPr>
        <w:ind w:left="586" w:hanging="317"/>
      </w:pPr>
      <w:r>
        <w:t>Wydanie dokumentu potwierdzającego prawo stałego pobytu obywatela UE następuje na wniosek.</w:t>
      </w:r>
      <w:r>
        <w:rPr>
          <w:b/>
          <w:color w:val="800000"/>
        </w:rPr>
        <w:t xml:space="preserve"> </w:t>
      </w:r>
    </w:p>
    <w:p w:rsidR="00C47453" w:rsidRDefault="00E91AE9">
      <w:pPr>
        <w:numPr>
          <w:ilvl w:val="0"/>
          <w:numId w:val="6"/>
        </w:numPr>
        <w:ind w:left="586" w:hanging="317"/>
      </w:pPr>
      <w:r>
        <w:t xml:space="preserve">Wniosek składa się osobiście (wymóg osobistego złożenia wniosku nie dotyczy małoletniego). </w:t>
      </w:r>
    </w:p>
    <w:p w:rsidR="00C47453" w:rsidRDefault="00E91AE9">
      <w:pPr>
        <w:numPr>
          <w:ilvl w:val="0"/>
          <w:numId w:val="6"/>
        </w:numPr>
        <w:ind w:left="586" w:hanging="317"/>
      </w:pPr>
      <w:r>
        <w:t xml:space="preserve">Organem właściwym jest wojewoda właściwy ze względu na miejsce pobytu  obywatela UE.  </w:t>
      </w:r>
    </w:p>
    <w:p w:rsidR="00C47453" w:rsidRDefault="00E91AE9">
      <w:pPr>
        <w:numPr>
          <w:ilvl w:val="0"/>
          <w:numId w:val="6"/>
        </w:numPr>
        <w:ind w:left="586" w:hanging="317"/>
      </w:pPr>
      <w:r>
        <w:t xml:space="preserve">Należy dostarczyć </w:t>
      </w:r>
      <w:r>
        <w:rPr>
          <w:b/>
        </w:rPr>
        <w:t>oryginały lub odpisy</w:t>
      </w:r>
      <w:r>
        <w:t xml:space="preserve"> powyższych dokumentów, jeżeli ich zgodność                   z oryginałem została poświadczona przez </w:t>
      </w:r>
      <w:r>
        <w:rPr>
          <w:b/>
        </w:rPr>
        <w:t>notariusza</w:t>
      </w:r>
      <w:r>
        <w:t xml:space="preserve"> albo przez występującego w sprawie pełnomocnika strony będącego adwokatem, radcą prawnym, rzecznikiem patentowym lub doradcą podatkowym (art.76a kpa). Kserokopie dokumentów nie mogą stanowić dowodów w postępowaniu administracyjnym.</w:t>
      </w:r>
      <w:r>
        <w:rPr>
          <w:b/>
          <w:color w:val="800000"/>
        </w:rPr>
        <w:t xml:space="preserve"> </w:t>
      </w:r>
    </w:p>
    <w:p w:rsidR="00C47453" w:rsidRDefault="00E91AE9">
      <w:pPr>
        <w:numPr>
          <w:ilvl w:val="0"/>
          <w:numId w:val="6"/>
        </w:numPr>
        <w:ind w:left="586" w:hanging="317"/>
      </w:pPr>
      <w:r>
        <w:t xml:space="preserve">Dokumenty sporządzone w języku obcym, dołączane do wniosków, składa się wraz z ich tłumaczeniem na język polski, sporządzonym przez tłumacza przysięgłego. </w:t>
      </w:r>
    </w:p>
    <w:p w:rsidR="00C47453" w:rsidRDefault="00E91AE9">
      <w:pPr>
        <w:numPr>
          <w:ilvl w:val="0"/>
          <w:numId w:val="6"/>
        </w:numPr>
        <w:ind w:left="586" w:hanging="317"/>
      </w:pPr>
      <w:r>
        <w:t xml:space="preserve">Dokument potwierdzający prawo stałego pobytu obywatela UE jest ważny 10 lat. </w:t>
      </w:r>
    </w:p>
    <w:p w:rsidR="00C47453" w:rsidRDefault="00E91AE9">
      <w:pPr>
        <w:numPr>
          <w:ilvl w:val="0"/>
          <w:numId w:val="6"/>
        </w:numPr>
        <w:ind w:left="586" w:hanging="317"/>
      </w:pPr>
      <w:r>
        <w:t xml:space="preserve">Przy odbiorze dokumentu potwierdzającego prawo stałego pobytu obywatel UE okazuje się ważny dokument podróży, a w przypadku, gdy odbioru dokonuje pełnomocnik wnioskodawcy – także pełnomocnictwo do odbioru dokumentu potwierdzającego prawo stałego pobytu. Obywatel UE może okazać inny ważny dokument potwierdzający jego tożsamość i obywatelstwo. </w:t>
      </w:r>
      <w:r>
        <w:rPr>
          <w:b/>
        </w:rPr>
        <w:t xml:space="preserve"> </w:t>
      </w:r>
    </w:p>
    <w:p w:rsidR="00C47453" w:rsidRDefault="00E91AE9">
      <w:pPr>
        <w:numPr>
          <w:ilvl w:val="0"/>
          <w:numId w:val="6"/>
        </w:numPr>
        <w:spacing w:after="249"/>
        <w:ind w:left="586" w:hanging="317"/>
      </w:pPr>
      <w:r>
        <w:t>Odmowa wydania lub wymiany dokumentu potwierdzającego prawo stałego pobytu obywatela UE oraz jego unieważnienie następuje w drodze decyzji.</w:t>
      </w:r>
      <w:r>
        <w:rPr>
          <w:b/>
        </w:rPr>
        <w:t xml:space="preserve"> </w:t>
      </w:r>
    </w:p>
    <w:p w:rsidR="00C47453" w:rsidRDefault="00E91AE9">
      <w:pPr>
        <w:pStyle w:val="Nagwek1"/>
        <w:ind w:left="279"/>
      </w:pPr>
      <w:r>
        <w:t xml:space="preserve">VIII. PODSTAWA PRAWNA </w:t>
      </w:r>
    </w:p>
    <w:p w:rsidR="00C47453" w:rsidRDefault="00E91AE9">
      <w:pPr>
        <w:numPr>
          <w:ilvl w:val="0"/>
          <w:numId w:val="7"/>
        </w:numPr>
        <w:ind w:left="663" w:hanging="394"/>
      </w:pPr>
      <w:r>
        <w:t>Ustawa z dnia 14 lipca 2006 r. o wjeździe na terytorium Rzeczypospolitej Polskiej, pobycie oraz wyjeździe z tego terytorium obywateli państw członkowskich Unii Europejskiej                       i członków ich rodzin (Dz. U. z 20</w:t>
      </w:r>
      <w:r w:rsidR="00B6030D">
        <w:t>17</w:t>
      </w:r>
      <w:r>
        <w:t xml:space="preserve"> r.</w:t>
      </w:r>
      <w:r w:rsidR="00B6030D">
        <w:t>,</w:t>
      </w:r>
      <w:r>
        <w:t xml:space="preserve"> poz. </w:t>
      </w:r>
      <w:r w:rsidR="00B6030D">
        <w:t>900</w:t>
      </w:r>
      <w:r>
        <w:t xml:space="preserve"> ze zm.), </w:t>
      </w:r>
    </w:p>
    <w:p w:rsidR="00C47453" w:rsidRDefault="00E91AE9">
      <w:pPr>
        <w:numPr>
          <w:ilvl w:val="0"/>
          <w:numId w:val="7"/>
        </w:numPr>
        <w:ind w:left="663" w:hanging="394"/>
      </w:pPr>
      <w:r>
        <w:t>Kodeks Postępowania Administracyjnego (tj. Dz. U. z 201</w:t>
      </w:r>
      <w:r w:rsidR="00B6030D">
        <w:t>8</w:t>
      </w:r>
      <w:r>
        <w:t xml:space="preserve"> r., poz.</w:t>
      </w:r>
      <w:r w:rsidR="00B6030D">
        <w:t xml:space="preserve"> </w:t>
      </w:r>
      <w:r>
        <w:t>2</w:t>
      </w:r>
      <w:r w:rsidR="00B6030D">
        <w:t>096</w:t>
      </w:r>
      <w:r>
        <w:t>). 3)</w:t>
      </w:r>
      <w:r>
        <w:rPr>
          <w:rFonts w:ascii="Arial" w:eastAsia="Arial" w:hAnsi="Arial" w:cs="Arial"/>
        </w:rPr>
        <w:t xml:space="preserve"> </w:t>
      </w:r>
      <w:r>
        <w:t xml:space="preserve">Rozporządzenie Ministra Spraw Wewnętrznych i Administracji z dnia 24 sierpnia 2006 r. w sprawie wniosków i dokumentów dotyczących prawa stałego pobytu na terytorium </w:t>
      </w:r>
    </w:p>
    <w:p w:rsidR="00C47453" w:rsidRDefault="00E91AE9">
      <w:pPr>
        <w:ind w:left="610"/>
      </w:pPr>
      <w:r>
        <w:t xml:space="preserve">Rzeczypospolitej Polskiej obywateli Unii Europejskiej i członków ich rodzin (Dz. U. Nr 154, poz. 1106 ze zm.) </w:t>
      </w:r>
    </w:p>
    <w:sectPr w:rsidR="00C47453">
      <w:headerReference w:type="default" r:id="rId7"/>
      <w:pgSz w:w="11906" w:h="16838"/>
      <w:pgMar w:top="1191" w:right="1412" w:bottom="148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F9" w:rsidRDefault="004650F9" w:rsidP="009A0BF5">
      <w:pPr>
        <w:spacing w:after="0" w:line="240" w:lineRule="auto"/>
      </w:pPr>
      <w:r>
        <w:separator/>
      </w:r>
    </w:p>
  </w:endnote>
  <w:endnote w:type="continuationSeparator" w:id="0">
    <w:p w:rsidR="004650F9" w:rsidRDefault="004650F9" w:rsidP="009A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F9" w:rsidRDefault="004650F9" w:rsidP="009A0BF5">
      <w:pPr>
        <w:spacing w:after="0" w:line="240" w:lineRule="auto"/>
      </w:pPr>
      <w:r>
        <w:separator/>
      </w:r>
    </w:p>
  </w:footnote>
  <w:footnote w:type="continuationSeparator" w:id="0">
    <w:p w:rsidR="004650F9" w:rsidRDefault="004650F9" w:rsidP="009A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BF5" w:rsidRPr="009A0BF5" w:rsidRDefault="009A0BF5" w:rsidP="009A0BF5">
    <w:pPr>
      <w:spacing w:after="5" w:line="276" w:lineRule="auto"/>
      <w:ind w:left="-5" w:right="-15"/>
      <w:rPr>
        <w:sz w:val="16"/>
        <w:szCs w:val="16"/>
      </w:rPr>
    </w:pPr>
    <w:r>
      <w:rPr>
        <w:sz w:val="16"/>
        <w:szCs w:val="16"/>
      </w:rPr>
      <w:t xml:space="preserve">Niniejsza informacja nie stanowi źródła prawa. Autorzy dołożyli należytej staranności, aby była ona zgodna z obowiązującymi regulacjami prawnymi. Należy jednak pamiętać, że dotyczy ona typowych, mogących często występować przypadków i może nie w pełni odnosić się do poszczególnych spraw. Liczba i rodzaj dokumentów, których mogą żądać organy administracji w toku postępowania mogą różnić się do podanych w zależności od konkretnej sprawy. W razie jakichkolwiek wątpliwości należy skontaktować się z organem właściwym do rozpoznania indywidualnej sprawy względnie zapoznać się z przepisami prawa samodzielnie. </w:t>
    </w:r>
  </w:p>
  <w:p w:rsidR="009A0BF5" w:rsidRDefault="009A0B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459B"/>
    <w:multiLevelType w:val="hybridMultilevel"/>
    <w:tmpl w:val="31BC70BE"/>
    <w:lvl w:ilvl="0" w:tplc="C0D07366">
      <w:start w:val="1"/>
      <w:numFmt w:val="bullet"/>
      <w:lvlText w:val=""/>
      <w:lvlJc w:val="left"/>
      <w:pPr>
        <w:ind w:left="5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6619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76BA2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7006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1E3C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8E4A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C6AB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321E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1E0B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0220EC"/>
    <w:multiLevelType w:val="hybridMultilevel"/>
    <w:tmpl w:val="7752EE9E"/>
    <w:lvl w:ilvl="0" w:tplc="B0CC1E8E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4ED31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AAE7CE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025D8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2BBBC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7ACB52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48925C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F2E39A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6C6F3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B65585"/>
    <w:multiLevelType w:val="hybridMultilevel"/>
    <w:tmpl w:val="17D0CAD4"/>
    <w:lvl w:ilvl="0" w:tplc="ABA091C0">
      <w:start w:val="1"/>
      <w:numFmt w:val="decimal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2DB5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69BA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41D6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22DD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812B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9A0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0280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6145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757C0"/>
    <w:multiLevelType w:val="hybridMultilevel"/>
    <w:tmpl w:val="66B81634"/>
    <w:lvl w:ilvl="0" w:tplc="10E6BD04">
      <w:start w:val="1"/>
      <w:numFmt w:val="decimal"/>
      <w:lvlText w:val="%1)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52AC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6C3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9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E90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EAB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666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02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47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A26885"/>
    <w:multiLevelType w:val="hybridMultilevel"/>
    <w:tmpl w:val="0AD87D66"/>
    <w:lvl w:ilvl="0" w:tplc="54024ECC">
      <w:start w:val="1"/>
      <w:numFmt w:val="bullet"/>
      <w:lvlText w:val=""/>
      <w:lvlJc w:val="left"/>
      <w:pPr>
        <w:ind w:left="5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406014">
      <w:start w:val="1"/>
      <w:numFmt w:val="bullet"/>
      <w:lvlText w:val="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8E09F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5675C0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AB7C6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0EDE8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2AA28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0F156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A138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067087"/>
    <w:multiLevelType w:val="hybridMultilevel"/>
    <w:tmpl w:val="69A2CE0C"/>
    <w:lvl w:ilvl="0" w:tplc="37AE7A42">
      <w:start w:val="1"/>
      <w:numFmt w:val="bullet"/>
      <w:lvlText w:val="–"/>
      <w:lvlJc w:val="left"/>
      <w:pPr>
        <w:ind w:left="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0329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657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890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7255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C8F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A3F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EEC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C2C2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983878"/>
    <w:multiLevelType w:val="hybridMultilevel"/>
    <w:tmpl w:val="2AC635D2"/>
    <w:lvl w:ilvl="0" w:tplc="2C146D4E">
      <w:start w:val="4"/>
      <w:numFmt w:val="upperRoman"/>
      <w:lvlText w:val="%1."/>
      <w:lvlJc w:val="left"/>
      <w:pPr>
        <w:ind w:left="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A77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29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4F9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4D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89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266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6BF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A76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255871"/>
    <w:multiLevelType w:val="hybridMultilevel"/>
    <w:tmpl w:val="58F875AC"/>
    <w:lvl w:ilvl="0" w:tplc="C2AA9D32">
      <w:start w:val="1"/>
      <w:numFmt w:val="bullet"/>
      <w:lvlText w:val=""/>
      <w:lvlJc w:val="left"/>
      <w:pPr>
        <w:ind w:left="9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D61A">
      <w:start w:val="1"/>
      <w:numFmt w:val="bullet"/>
      <w:lvlText w:val="o"/>
      <w:lvlJc w:val="left"/>
      <w:pPr>
        <w:ind w:left="1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298DE">
      <w:start w:val="1"/>
      <w:numFmt w:val="bullet"/>
      <w:lvlText w:val="▪"/>
      <w:lvlJc w:val="left"/>
      <w:pPr>
        <w:ind w:left="24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00B90">
      <w:start w:val="1"/>
      <w:numFmt w:val="bullet"/>
      <w:lvlText w:val="•"/>
      <w:lvlJc w:val="left"/>
      <w:pPr>
        <w:ind w:left="31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82058">
      <w:start w:val="1"/>
      <w:numFmt w:val="bullet"/>
      <w:lvlText w:val="o"/>
      <w:lvlJc w:val="left"/>
      <w:pPr>
        <w:ind w:left="38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2B9B2">
      <w:start w:val="1"/>
      <w:numFmt w:val="bullet"/>
      <w:lvlText w:val="▪"/>
      <w:lvlJc w:val="left"/>
      <w:pPr>
        <w:ind w:left="46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E9DD0">
      <w:start w:val="1"/>
      <w:numFmt w:val="bullet"/>
      <w:lvlText w:val="•"/>
      <w:lvlJc w:val="left"/>
      <w:pPr>
        <w:ind w:left="53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035D2">
      <w:start w:val="1"/>
      <w:numFmt w:val="bullet"/>
      <w:lvlText w:val="o"/>
      <w:lvlJc w:val="left"/>
      <w:pPr>
        <w:ind w:left="60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6460">
      <w:start w:val="1"/>
      <w:numFmt w:val="bullet"/>
      <w:lvlText w:val="▪"/>
      <w:lvlJc w:val="left"/>
      <w:pPr>
        <w:ind w:left="67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53"/>
    <w:rsid w:val="004650F9"/>
    <w:rsid w:val="009A0BF5"/>
    <w:rsid w:val="00B6030D"/>
    <w:rsid w:val="00C47453"/>
    <w:rsid w:val="00E9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A421"/>
  <w15:docId w15:val="{F20F51D3-CD04-4F4E-93B8-ED5AE35A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05" w:line="249" w:lineRule="auto"/>
      <w:ind w:left="5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BF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A0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BF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886</Words>
  <Characters>5321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Rudzka</dc:creator>
  <cp:keywords/>
  <cp:lastModifiedBy>Agnieszka Wilkowska-Klocek</cp:lastModifiedBy>
  <cp:revision>6</cp:revision>
  <dcterms:created xsi:type="dcterms:W3CDTF">2018-02-08T07:56:00Z</dcterms:created>
  <dcterms:modified xsi:type="dcterms:W3CDTF">2019-02-19T10:45:00Z</dcterms:modified>
</cp:coreProperties>
</file>